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42"/>
        <w:tblW w:w="0" w:type="auto"/>
        <w:tblLayout w:type="fixed"/>
        <w:tblLook w:val="0000"/>
      </w:tblPr>
      <w:tblGrid>
        <w:gridCol w:w="2358"/>
        <w:gridCol w:w="8176"/>
      </w:tblGrid>
      <w:tr w:rsidR="001C1604">
        <w:trPr>
          <w:trHeight w:val="397"/>
        </w:trPr>
        <w:tc>
          <w:tcPr>
            <w:tcW w:w="10534" w:type="dxa"/>
            <w:gridSpan w:val="2"/>
          </w:tcPr>
          <w:p w:rsidR="001C1604" w:rsidRDefault="001C1604">
            <w:pPr>
              <w:pStyle w:val="1"/>
              <w:rPr>
                <w:rStyle w:val="a3"/>
                <w:rFonts w:ascii="Arial" w:hAnsi="Arial" w:cs="Arial"/>
                <w:sz w:val="30"/>
                <w:szCs w:val="30"/>
              </w:rPr>
            </w:pPr>
            <w:r>
              <w:rPr>
                <w:rStyle w:val="a3"/>
                <w:rFonts w:ascii="Arial" w:hAnsi="Arial" w:cs="Arial"/>
                <w:sz w:val="30"/>
                <w:szCs w:val="30"/>
              </w:rPr>
              <w:t>PRODUCT DATA SHEET</w:t>
            </w:r>
          </w:p>
          <w:p w:rsidR="001C1604" w:rsidRDefault="00A7758E" w:rsidP="0069515B">
            <w:pPr>
              <w:jc w:val="center"/>
              <w:rPr>
                <w:rStyle w:val="a3"/>
                <w:rFonts w:ascii="Arial" w:hAnsi="Arial" w:cs="Arial"/>
                <w:b w:val="0"/>
                <w:sz w:val="28"/>
              </w:rPr>
            </w:pPr>
            <w:r>
              <w:rPr>
                <w:rStyle w:val="a3"/>
                <w:rFonts w:ascii="Arial" w:hAnsi="Arial" w:cs="Arial" w:hint="eastAsia"/>
                <w:b w:val="0"/>
                <w:sz w:val="28"/>
              </w:rPr>
              <w:t>KW-CP 50</w:t>
            </w:r>
          </w:p>
        </w:tc>
      </w:tr>
      <w:tr w:rsidR="001C1604">
        <w:trPr>
          <w:trHeight w:val="397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Synonyms</w:t>
            </w:r>
          </w:p>
        </w:tc>
        <w:tc>
          <w:tcPr>
            <w:tcW w:w="8176" w:type="dxa"/>
          </w:tcPr>
          <w:p w:rsidR="001C1604" w:rsidRDefault="00A7758E" w:rsidP="0069515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KW-CP 50 AA-HPA-AMPS Terpolymer</w:t>
            </w:r>
          </w:p>
        </w:tc>
      </w:tr>
      <w:tr w:rsidR="00AA6FD5">
        <w:trPr>
          <w:trHeight w:val="360"/>
        </w:trPr>
        <w:tc>
          <w:tcPr>
            <w:tcW w:w="2358" w:type="dxa"/>
          </w:tcPr>
          <w:p w:rsidR="00AA6FD5" w:rsidRDefault="00AA6FD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176" w:type="dxa"/>
          </w:tcPr>
          <w:p w:rsidR="00AA6FD5" w:rsidRDefault="00AA6FD5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360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Product Grade</w:t>
            </w:r>
          </w:p>
        </w:tc>
        <w:tc>
          <w:tcPr>
            <w:tcW w:w="8176" w:type="dxa"/>
          </w:tcPr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Industrial</w:t>
            </w:r>
          </w:p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405"/>
        </w:trPr>
        <w:tc>
          <w:tcPr>
            <w:tcW w:w="2358" w:type="dxa"/>
          </w:tcPr>
          <w:p w:rsidR="001C1604" w:rsidRDefault="001C1604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Description </w:t>
            </w:r>
          </w:p>
          <w:p w:rsidR="001C1604" w:rsidRDefault="001C1604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&amp; Application</w:t>
            </w:r>
          </w:p>
        </w:tc>
        <w:tc>
          <w:tcPr>
            <w:tcW w:w="8176" w:type="dxa"/>
          </w:tcPr>
          <w:p w:rsidR="001C1604" w:rsidRPr="00A7758E" w:rsidRDefault="00A7758E" w:rsidP="00A7758E">
            <w:pPr>
              <w:ind w:left="12"/>
              <w:rPr>
                <w:rFonts w:ascii="Arial" w:hAnsi="Arial" w:cs="Arial"/>
                <w:sz w:val="24"/>
              </w:rPr>
            </w:pPr>
            <w:r w:rsidRPr="00A7758E">
              <w:rPr>
                <w:rFonts w:ascii="Arial" w:hAnsi="Arial" w:cs="Arial"/>
                <w:sz w:val="24"/>
              </w:rPr>
              <w:t>It is the latest sulfosalt copolymers , contains carboxylic acid groups , hydroxyl , sulfo group , and amido four efficiency groups . With amido group , it can improve the medicament’s anti-gelation ability.High tolerance to calcium , excellent scale inhibition ability for calcium carbonate and organic phosphorus acid calcium.Excellent high temperature tolerance and oxidative stability.Efficient dispersity for iron , indium zinc oxide , bedload etc. inorganic matter.Good threshold effect , and coordinate effect. It can be used as scale inhibitor and dispersant in industrial circulating water system, oilfield refill water system and boiler water.</w:t>
            </w:r>
          </w:p>
          <w:p w:rsidR="00AA6FD5" w:rsidRDefault="00AA6FD5" w:rsidP="00AA6FD5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300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Safety</w:t>
            </w:r>
            <w:r>
              <w:rPr>
                <w:rFonts w:ascii="Arial" w:hAnsi="Arial" w:cs="Arial" w:hint="eastAsia"/>
                <w:sz w:val="24"/>
              </w:rPr>
              <w:t xml:space="preserve"> Protection</w:t>
            </w:r>
          </w:p>
        </w:tc>
        <w:tc>
          <w:tcPr>
            <w:tcW w:w="8176" w:type="dxa"/>
          </w:tcPr>
          <w:p w:rsidR="001C1604" w:rsidRDefault="00A7758E">
            <w:pPr>
              <w:ind w:left="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Acidity</w:t>
            </w:r>
            <w:r w:rsidR="001C1604">
              <w:rPr>
                <w:rFonts w:ascii="Arial" w:hAnsi="Arial" w:cs="Arial" w:hint="eastAsia"/>
                <w:sz w:val="24"/>
              </w:rPr>
              <w:t>, avoid contact with eye and skin, once contacted, flush with water.</w:t>
            </w:r>
          </w:p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315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Specification</w:t>
            </w:r>
          </w:p>
        </w:tc>
        <w:tc>
          <w:tcPr>
            <w:tcW w:w="8176" w:type="dxa"/>
          </w:tcPr>
          <w:p w:rsidR="001C1604" w:rsidRDefault="003E15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Solid</w:t>
            </w:r>
            <w:r w:rsidR="001C1604">
              <w:rPr>
                <w:rFonts w:ascii="Arial" w:hAnsi="Arial" w:cs="Arial"/>
                <w:sz w:val="24"/>
              </w:rPr>
              <w:t xml:space="preserve"> content (as acid)% </w:t>
            </w:r>
            <w:r w:rsidR="001C1604">
              <w:rPr>
                <w:rFonts w:ascii="Arial" w:hAnsi="Arial" w:cs="Arial" w:hint="eastAsia"/>
                <w:sz w:val="24"/>
              </w:rPr>
              <w:t xml:space="preserve">: </w:t>
            </w:r>
            <w:r>
              <w:rPr>
                <w:rFonts w:ascii="宋体" w:hAnsi="宋体" w:cs="Arial"/>
                <w:sz w:val="24"/>
              </w:rPr>
              <w:t>≥</w:t>
            </w:r>
            <w:r w:rsidRPr="003E15B2">
              <w:rPr>
                <w:rFonts w:ascii="Arial" w:hAnsi="Arial" w:cs="Arial" w:hint="eastAsia"/>
                <w:sz w:val="24"/>
              </w:rPr>
              <w:t>4</w:t>
            </w:r>
            <w:r w:rsidR="00A7758E">
              <w:rPr>
                <w:rFonts w:ascii="Arial" w:hAnsi="Arial" w:cs="Arial" w:hint="eastAsia"/>
                <w:sz w:val="24"/>
              </w:rPr>
              <w:t>5</w:t>
            </w:r>
          </w:p>
          <w:p w:rsidR="001C1604" w:rsidRDefault="003E15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Free Monomer</w:t>
            </w:r>
            <w:r w:rsidR="001C1604">
              <w:rPr>
                <w:rFonts w:ascii="Arial" w:hAnsi="Arial" w:cs="Arial"/>
                <w:sz w:val="24"/>
              </w:rPr>
              <w:t xml:space="preserve"> %</w:t>
            </w:r>
            <w:r w:rsidR="001C1604">
              <w:rPr>
                <w:rFonts w:ascii="Arial" w:hAnsi="Arial" w:cs="Arial"/>
                <w:sz w:val="24"/>
              </w:rPr>
              <w:t>：</w:t>
            </w:r>
            <w:r w:rsidR="001C1604">
              <w:rPr>
                <w:rFonts w:ascii="宋体" w:hAnsi="宋体" w:cs="Arial"/>
                <w:sz w:val="24"/>
              </w:rPr>
              <w:t>≤</w:t>
            </w:r>
            <w:r w:rsidR="0069515B">
              <w:rPr>
                <w:rFonts w:ascii="Arial" w:hAnsi="Arial" w:cs="Arial" w:hint="eastAsia"/>
                <w:sz w:val="24"/>
              </w:rPr>
              <w:t>0</w:t>
            </w:r>
            <w:r w:rsidR="001C1604">
              <w:rPr>
                <w:rFonts w:ascii="Arial" w:hAnsi="Arial" w:cs="Arial" w:hint="eastAsia"/>
                <w:sz w:val="24"/>
              </w:rPr>
              <w:t>.5</w:t>
            </w:r>
          </w:p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p</w:t>
            </w:r>
            <w:r>
              <w:rPr>
                <w:rFonts w:ascii="Arial" w:hAnsi="Arial" w:cs="Arial"/>
                <w:sz w:val="24"/>
              </w:rPr>
              <w:t>H</w:t>
            </w:r>
            <w:r>
              <w:rPr>
                <w:rFonts w:ascii="Arial" w:hAnsi="Arial" w:cs="Arial"/>
                <w:sz w:val="24"/>
              </w:rPr>
              <w:t>（</w:t>
            </w:r>
            <w:r>
              <w:rPr>
                <w:rFonts w:ascii="Arial" w:hAnsi="Arial" w:cs="Arial"/>
                <w:sz w:val="24"/>
              </w:rPr>
              <w:t>1% solution</w:t>
            </w:r>
            <w:r>
              <w:rPr>
                <w:rFonts w:ascii="Arial" w:hAnsi="Arial" w:cs="Arial"/>
                <w:sz w:val="24"/>
              </w:rPr>
              <w:t>）</w:t>
            </w:r>
            <w:r>
              <w:rPr>
                <w:rFonts w:ascii="Arial" w:hAnsi="Arial" w:cs="Arial"/>
                <w:sz w:val="24"/>
              </w:rPr>
              <w:t xml:space="preserve">: </w:t>
            </w:r>
            <w:r w:rsidR="00A7758E">
              <w:rPr>
                <w:rFonts w:ascii="宋体" w:hAnsi="宋体" w:cs="Arial"/>
                <w:sz w:val="24"/>
              </w:rPr>
              <w:t>≤</w:t>
            </w:r>
            <w:r w:rsidR="003E15B2" w:rsidRPr="003E15B2">
              <w:rPr>
                <w:rFonts w:ascii="Arial" w:hAnsi="Arial" w:cs="Arial" w:hint="eastAsia"/>
                <w:sz w:val="24"/>
              </w:rPr>
              <w:t>3.</w:t>
            </w:r>
            <w:r w:rsidR="00A7758E">
              <w:rPr>
                <w:rFonts w:ascii="Arial" w:hAnsi="Arial" w:cs="Arial" w:hint="eastAsia"/>
                <w:sz w:val="24"/>
              </w:rPr>
              <w:t>0</w:t>
            </w:r>
          </w:p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Density(20℃) g/cm3 : </w:t>
            </w:r>
            <w:r w:rsidR="003E15B2">
              <w:rPr>
                <w:rFonts w:ascii="宋体" w:hAnsi="宋体" w:cs="Arial"/>
                <w:sz w:val="24"/>
              </w:rPr>
              <w:t>≥</w:t>
            </w:r>
            <w:r w:rsidR="003E15B2" w:rsidRPr="003E15B2">
              <w:rPr>
                <w:rFonts w:ascii="Arial" w:hAnsi="Arial" w:cs="Arial" w:hint="eastAsia"/>
                <w:sz w:val="24"/>
              </w:rPr>
              <w:t>1.</w:t>
            </w:r>
            <w:r w:rsidR="00A7758E">
              <w:rPr>
                <w:rFonts w:ascii="Arial" w:hAnsi="Arial" w:cs="Arial" w:hint="eastAsia"/>
                <w:sz w:val="24"/>
              </w:rPr>
              <w:t>15</w:t>
            </w:r>
            <w:r w:rsidR="003E15B2" w:rsidRPr="003E15B2">
              <w:rPr>
                <w:rFonts w:ascii="Arial" w:hAnsi="Arial" w:cs="Arial" w:hint="eastAsia"/>
                <w:sz w:val="24"/>
              </w:rPr>
              <w:t>0</w:t>
            </w:r>
          </w:p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Appearance</w:t>
            </w:r>
            <w:r>
              <w:rPr>
                <w:rFonts w:ascii="Arial" w:hAnsi="Arial" w:cs="Arial"/>
                <w:sz w:val="24"/>
              </w:rPr>
              <w:t>：</w:t>
            </w:r>
            <w:r w:rsidR="00651EE4">
              <w:rPr>
                <w:rFonts w:ascii="Arial" w:hAnsi="Arial" w:cs="Arial" w:hint="eastAsia"/>
                <w:sz w:val="24"/>
              </w:rPr>
              <w:t>light yellow transparent liquid</w:t>
            </w:r>
          </w:p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270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Package </w:t>
            </w:r>
          </w:p>
        </w:tc>
        <w:tc>
          <w:tcPr>
            <w:tcW w:w="8176" w:type="dxa"/>
          </w:tcPr>
          <w:p w:rsidR="001C1604" w:rsidRDefault="00AA6FD5">
            <w:pPr>
              <w:ind w:left="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25L or 20</w:t>
            </w:r>
            <w:r w:rsidR="001C1604">
              <w:rPr>
                <w:rFonts w:ascii="Arial" w:hAnsi="Arial" w:cs="Arial" w:hint="eastAsia"/>
                <w:sz w:val="24"/>
              </w:rPr>
              <w:t>0</w:t>
            </w:r>
            <w:r w:rsidR="007E5867">
              <w:rPr>
                <w:rFonts w:ascii="Arial" w:hAnsi="Arial" w:cs="Arial"/>
                <w:sz w:val="24"/>
              </w:rPr>
              <w:t>L Drum</w:t>
            </w:r>
            <w:r w:rsidR="001C1604">
              <w:rPr>
                <w:rFonts w:ascii="Arial" w:hAnsi="Arial" w:cs="Arial"/>
                <w:sz w:val="24"/>
              </w:rPr>
              <w:t xml:space="preserve">. Stored in cool and dry place. </w:t>
            </w:r>
          </w:p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270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Shelf Life</w:t>
            </w:r>
          </w:p>
        </w:tc>
        <w:tc>
          <w:tcPr>
            <w:tcW w:w="8176" w:type="dxa"/>
          </w:tcPr>
          <w:p w:rsidR="001C1604" w:rsidRDefault="00A7758E">
            <w:pPr>
              <w:ind w:left="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1 year.</w:t>
            </w:r>
          </w:p>
        </w:tc>
      </w:tr>
    </w:tbl>
    <w:p w:rsidR="001C1604" w:rsidRDefault="001C1604">
      <w:pPr>
        <w:rPr>
          <w:rFonts w:ascii="Arial" w:hAnsi="Arial" w:cs="Arial"/>
          <w:sz w:val="24"/>
        </w:rPr>
      </w:pPr>
    </w:p>
    <w:sectPr w:rsidR="001C1604" w:rsidSect="00EE6FFF">
      <w:headerReference w:type="default" r:id="rId7"/>
      <w:pgSz w:w="11906" w:h="16838"/>
      <w:pgMar w:top="794" w:right="794" w:bottom="794" w:left="79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CF9" w:rsidRDefault="00955CF9">
      <w:r>
        <w:separator/>
      </w:r>
    </w:p>
  </w:endnote>
  <w:endnote w:type="continuationSeparator" w:id="1">
    <w:p w:rsidR="00955CF9" w:rsidRDefault="00955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CF9" w:rsidRDefault="00955CF9">
      <w:r>
        <w:separator/>
      </w:r>
    </w:p>
  </w:footnote>
  <w:footnote w:type="continuationSeparator" w:id="1">
    <w:p w:rsidR="00955CF9" w:rsidRDefault="00955C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604" w:rsidRDefault="0069515B">
    <w:pPr>
      <w:rPr>
        <w:rFonts w:ascii="Arial" w:hAnsi="Arial" w:cs="Arial"/>
        <w:b/>
        <w:bCs/>
        <w:sz w:val="36"/>
        <w:szCs w:val="36"/>
      </w:rPr>
    </w:pPr>
    <w:r>
      <w:rPr>
        <w:rFonts w:hint="eastAsia"/>
        <w:noProof/>
        <w:sz w:val="36"/>
      </w:rPr>
      <w:drawing>
        <wp:inline distT="0" distB="0" distL="0" distR="0">
          <wp:extent cx="1219200" cy="409575"/>
          <wp:effectExtent l="19050" t="0" r="0" b="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C1604">
      <w:rPr>
        <w:rFonts w:hint="eastAsia"/>
      </w:rPr>
      <w:t xml:space="preserve"> </w:t>
    </w:r>
    <w:r w:rsidR="001C1604">
      <w:rPr>
        <w:rFonts w:hint="eastAsia"/>
        <w:b/>
        <w:bCs/>
        <w:sz w:val="48"/>
      </w:rPr>
      <w:t xml:space="preserve">  </w:t>
    </w:r>
    <w:r w:rsidR="001C1604">
      <w:rPr>
        <w:rFonts w:ascii="Arial" w:hAnsi="Arial" w:cs="Arial"/>
        <w:b/>
        <w:bCs/>
        <w:sz w:val="36"/>
        <w:szCs w:val="36"/>
      </w:rPr>
      <w:t>常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州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科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益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化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工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有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限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公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司</w:t>
    </w:r>
  </w:p>
  <w:p w:rsidR="001C1604" w:rsidRDefault="001C1604">
    <w:pPr>
      <w:spacing w:line="400" w:lineRule="exact"/>
      <w:jc w:val="center"/>
      <w:rPr>
        <w:rFonts w:ascii="Arial" w:hAnsi="Arial" w:cs="Arial"/>
        <w:b/>
        <w:bCs/>
        <w:sz w:val="30"/>
      </w:rPr>
    </w:pPr>
    <w:r>
      <w:rPr>
        <w:rFonts w:ascii="Arial" w:hAnsi="Arial" w:cs="Arial"/>
        <w:b/>
        <w:bCs/>
        <w:sz w:val="30"/>
      </w:rPr>
      <w:t xml:space="preserve">  CHANGZHOU KOYE CHEMICAL CO.,LTD.</w:t>
    </w:r>
  </w:p>
  <w:p w:rsidR="001C1604" w:rsidRDefault="001C1604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RM 111</w:t>
    </w:r>
    <w:r>
      <w:rPr>
        <w:rFonts w:ascii="Arial" w:hAnsi="Arial" w:cs="Arial" w:hint="eastAsia"/>
        <w:sz w:val="20"/>
        <w:szCs w:val="20"/>
      </w:rPr>
      <w:t>6</w:t>
    </w:r>
    <w:r>
      <w:rPr>
        <w:rFonts w:ascii="Arial" w:hAnsi="Arial" w:cs="Arial"/>
        <w:sz w:val="20"/>
        <w:szCs w:val="20"/>
      </w:rPr>
      <w:t xml:space="preserve">, </w:t>
    </w:r>
    <w:r>
      <w:rPr>
        <w:rFonts w:ascii="Arial" w:hAnsi="Arial" w:cs="Arial" w:hint="eastAsia"/>
        <w:sz w:val="20"/>
        <w:szCs w:val="20"/>
      </w:rPr>
      <w:t xml:space="preserve">1117 </w:t>
    </w:r>
    <w:r>
      <w:rPr>
        <w:rFonts w:ascii="Arial" w:hAnsi="Arial" w:cs="Arial"/>
        <w:sz w:val="20"/>
        <w:szCs w:val="20"/>
      </w:rPr>
      <w:t>ECO BUSINESS PLAZA, 66, EAST GUANHE ROAD, CHANGZHOU,</w:t>
    </w:r>
    <w:r>
      <w:rPr>
        <w:rFonts w:ascii="Arial" w:hAnsi="Arial" w:cs="Arial" w:hint="eastAsia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JIANGSU</w:t>
    </w:r>
    <w:r>
      <w:rPr>
        <w:rFonts w:ascii="Arial" w:hAnsi="Arial" w:cs="Arial" w:hint="eastAsia"/>
        <w:sz w:val="20"/>
        <w:szCs w:val="20"/>
      </w:rPr>
      <w:t>, CHINA</w:t>
    </w:r>
  </w:p>
  <w:p w:rsidR="001C1604" w:rsidRDefault="001C1604">
    <w:pPr>
      <w:pStyle w:val="a6"/>
      <w:ind w:firstLineChars="900" w:firstLine="1800"/>
      <w:jc w:val="both"/>
      <w:rPr>
        <w:color w:val="000080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913"/>
    <w:rsid w:val="0001456B"/>
    <w:rsid w:val="00066F95"/>
    <w:rsid w:val="000B4277"/>
    <w:rsid w:val="000E4023"/>
    <w:rsid w:val="001205D5"/>
    <w:rsid w:val="00161194"/>
    <w:rsid w:val="001C1604"/>
    <w:rsid w:val="00221CDC"/>
    <w:rsid w:val="00240A86"/>
    <w:rsid w:val="003C72CE"/>
    <w:rsid w:val="003C7FEE"/>
    <w:rsid w:val="003D7203"/>
    <w:rsid w:val="003E15B2"/>
    <w:rsid w:val="005B60C1"/>
    <w:rsid w:val="00651EE4"/>
    <w:rsid w:val="00676C23"/>
    <w:rsid w:val="0069515B"/>
    <w:rsid w:val="007350EE"/>
    <w:rsid w:val="007E5867"/>
    <w:rsid w:val="00834B61"/>
    <w:rsid w:val="00836992"/>
    <w:rsid w:val="00842026"/>
    <w:rsid w:val="008C6921"/>
    <w:rsid w:val="008E0ED3"/>
    <w:rsid w:val="008F2C99"/>
    <w:rsid w:val="00955CF9"/>
    <w:rsid w:val="009637FE"/>
    <w:rsid w:val="00976DF5"/>
    <w:rsid w:val="00A539F1"/>
    <w:rsid w:val="00A7758E"/>
    <w:rsid w:val="00AA6FD5"/>
    <w:rsid w:val="00B36FE5"/>
    <w:rsid w:val="00B56519"/>
    <w:rsid w:val="00BB1C91"/>
    <w:rsid w:val="00BE134A"/>
    <w:rsid w:val="00BF211E"/>
    <w:rsid w:val="00C10910"/>
    <w:rsid w:val="00CE14C1"/>
    <w:rsid w:val="00CE7913"/>
    <w:rsid w:val="00D31E4E"/>
    <w:rsid w:val="00DD7431"/>
    <w:rsid w:val="00DE3CB6"/>
    <w:rsid w:val="00E033DE"/>
    <w:rsid w:val="00E45CBA"/>
    <w:rsid w:val="00E92D0A"/>
    <w:rsid w:val="00EE6FFF"/>
    <w:rsid w:val="05655326"/>
    <w:rsid w:val="3B7C2F3F"/>
    <w:rsid w:val="7C2E3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0" w:unhideWhenUsed="0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3" w:uiPriority="0" w:unhideWhenUsed="0"/>
    <w:lsdException w:name="Hyperlink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unhideWhenUsed="0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F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E6FF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EE6FFF"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qFormat/>
    <w:rsid w:val="00EE6FFF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paragraph" w:styleId="5">
    <w:name w:val="heading 5"/>
    <w:basedOn w:val="a"/>
    <w:next w:val="a"/>
    <w:qFormat/>
    <w:rsid w:val="00EE6FF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E6FFF"/>
    <w:rPr>
      <w:b/>
      <w:bCs/>
    </w:rPr>
  </w:style>
  <w:style w:type="character" w:styleId="a4">
    <w:name w:val="Hyperlink"/>
    <w:basedOn w:val="a0"/>
    <w:semiHidden/>
    <w:rsid w:val="00EE6FFF"/>
    <w:rPr>
      <w:color w:val="0000FF"/>
      <w:u w:val="single"/>
    </w:rPr>
  </w:style>
  <w:style w:type="paragraph" w:styleId="30">
    <w:name w:val="Body Text 3"/>
    <w:basedOn w:val="a"/>
    <w:semiHidden/>
    <w:rsid w:val="00EE6FF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Body Text Indent"/>
    <w:basedOn w:val="a"/>
    <w:semiHidden/>
    <w:rsid w:val="00EE6FFF"/>
    <w:pPr>
      <w:ind w:left="12"/>
    </w:pPr>
    <w:rPr>
      <w:sz w:val="24"/>
    </w:rPr>
  </w:style>
  <w:style w:type="paragraph" w:styleId="a6">
    <w:name w:val="Body Text"/>
    <w:basedOn w:val="a"/>
    <w:semiHidden/>
    <w:rsid w:val="00EE6FFF"/>
    <w:pPr>
      <w:jc w:val="center"/>
    </w:pPr>
    <w:rPr>
      <w:rFonts w:ascii="Georgia" w:hAnsi="Georgia" w:cs="Arial"/>
      <w:sz w:val="22"/>
    </w:rPr>
  </w:style>
  <w:style w:type="paragraph" w:styleId="a7">
    <w:name w:val="footer"/>
    <w:basedOn w:val="a"/>
    <w:semiHidden/>
    <w:rsid w:val="00EE6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Normal (Web)"/>
    <w:basedOn w:val="a"/>
    <w:semiHidden/>
    <w:rsid w:val="00EE6FF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9">
    <w:name w:val="header"/>
    <w:basedOn w:val="a"/>
    <w:semiHidden/>
    <w:rsid w:val="00EE6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ziti">
    <w:name w:val="ziti"/>
    <w:basedOn w:val="a"/>
    <w:rsid w:val="00EE6FFF"/>
    <w:pPr>
      <w:widowControl/>
      <w:spacing w:before="100" w:beforeAutospacing="1" w:after="100" w:afterAutospacing="1" w:line="300" w:lineRule="atLeast"/>
      <w:jc w:val="left"/>
    </w:pPr>
    <w:rPr>
      <w:rFonts w:ascii="Arial" w:hAnsi="Arial" w:cs="Arial"/>
      <w:kern w:val="0"/>
      <w:sz w:val="24"/>
    </w:rPr>
  </w:style>
  <w:style w:type="paragraph" w:styleId="aa">
    <w:name w:val="Balloon Text"/>
    <w:basedOn w:val="a"/>
    <w:link w:val="Char"/>
    <w:uiPriority w:val="99"/>
    <w:semiHidden/>
    <w:unhideWhenUsed/>
    <w:rsid w:val="00AA6FD5"/>
    <w:rPr>
      <w:sz w:val="18"/>
      <w:szCs w:val="18"/>
    </w:rPr>
  </w:style>
  <w:style w:type="character" w:customStyle="1" w:styleId="Char">
    <w:name w:val="批注框文本 Char"/>
    <w:basedOn w:val="a0"/>
    <w:link w:val="aa"/>
    <w:uiPriority w:val="99"/>
    <w:semiHidden/>
    <w:rsid w:val="00AA6FD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167</Words>
  <Characters>954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Microsoft China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Product: HEDP                 Code: KW-100</dc:title>
  <dc:subject/>
  <dc:creator>Billgates</dc:creator>
  <cp:keywords/>
  <dc:description/>
  <cp:lastModifiedBy>yang</cp:lastModifiedBy>
  <cp:revision>5</cp:revision>
  <cp:lastPrinted>2009-07-28T02:14:00Z</cp:lastPrinted>
  <dcterms:created xsi:type="dcterms:W3CDTF">2015-04-09T06:03:00Z</dcterms:created>
  <dcterms:modified xsi:type="dcterms:W3CDTF">2015-04-23T07:55:00Z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